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F21" w:rsidRPr="00376F21" w:rsidRDefault="00376F21" w:rsidP="00376F21">
      <w:pPr>
        <w:jc w:val="center"/>
        <w:rPr>
          <w:sz w:val="36"/>
          <w:szCs w:val="36"/>
        </w:rPr>
      </w:pPr>
      <w:r w:rsidRPr="00376F21">
        <w:rPr>
          <w:sz w:val="36"/>
          <w:szCs w:val="36"/>
        </w:rPr>
        <w:t xml:space="preserve">KERANGKA DASAR PENYUSUNAN DAN PENYAJIAN </w:t>
      </w:r>
    </w:p>
    <w:p w:rsidR="00302BA2" w:rsidRPr="00376F21" w:rsidRDefault="00376F21" w:rsidP="00376F21">
      <w:pPr>
        <w:jc w:val="center"/>
        <w:rPr>
          <w:sz w:val="36"/>
          <w:szCs w:val="36"/>
        </w:rPr>
      </w:pPr>
      <w:r w:rsidRPr="00376F21">
        <w:rPr>
          <w:sz w:val="36"/>
          <w:szCs w:val="36"/>
        </w:rPr>
        <w:t>LAPORAN KEUANGAN SYARIAH</w:t>
      </w:r>
    </w:p>
    <w:p w:rsidR="00376F21" w:rsidRPr="00376F21" w:rsidRDefault="00376F21" w:rsidP="00376F21">
      <w:pPr>
        <w:jc w:val="center"/>
        <w:rPr>
          <w:sz w:val="36"/>
          <w:szCs w:val="36"/>
        </w:rPr>
      </w:pPr>
      <w:r w:rsidRPr="00376F21">
        <w:rPr>
          <w:sz w:val="36"/>
          <w:szCs w:val="36"/>
        </w:rPr>
        <w:t>(KDPPLKS)</w:t>
      </w:r>
    </w:p>
    <w:p w:rsidR="00376F21" w:rsidRPr="00376F21" w:rsidRDefault="00376F21" w:rsidP="00376F21">
      <w:pPr>
        <w:jc w:val="center"/>
        <w:rPr>
          <w:sz w:val="28"/>
          <w:szCs w:val="28"/>
        </w:rPr>
      </w:pPr>
    </w:p>
    <w:p w:rsidR="00376F21" w:rsidRDefault="00376F21" w:rsidP="00376F21">
      <w:pPr>
        <w:jc w:val="center"/>
        <w:rPr>
          <w:sz w:val="28"/>
          <w:szCs w:val="28"/>
        </w:rPr>
      </w:pPr>
      <w:r w:rsidRPr="00376F21">
        <w:rPr>
          <w:sz w:val="28"/>
          <w:szCs w:val="28"/>
        </w:rPr>
        <w:t>KERANGKA DASAR PENYUSUNAN DAN P</w:t>
      </w:r>
      <w:r w:rsidRPr="00376F21">
        <w:rPr>
          <w:sz w:val="28"/>
          <w:szCs w:val="28"/>
        </w:rPr>
        <w:t>ENYAJIAN</w:t>
      </w:r>
    </w:p>
    <w:p w:rsidR="00376F21" w:rsidRPr="00376F21" w:rsidRDefault="00376F21" w:rsidP="00376F21">
      <w:pPr>
        <w:jc w:val="center"/>
        <w:rPr>
          <w:sz w:val="28"/>
          <w:szCs w:val="28"/>
        </w:rPr>
      </w:pPr>
      <w:r w:rsidRPr="00376F21">
        <w:rPr>
          <w:sz w:val="28"/>
          <w:szCs w:val="28"/>
        </w:rPr>
        <w:t xml:space="preserve"> LAPORAN KEUANGA</w:t>
      </w:r>
      <w:r>
        <w:rPr>
          <w:sz w:val="28"/>
          <w:szCs w:val="28"/>
        </w:rPr>
        <w:t>N</w:t>
      </w:r>
      <w:r w:rsidRPr="00376F21">
        <w:rPr>
          <w:sz w:val="28"/>
          <w:szCs w:val="28"/>
        </w:rPr>
        <w:t xml:space="preserve"> </w:t>
      </w:r>
    </w:p>
    <w:p w:rsidR="00376F21" w:rsidRPr="00376F21" w:rsidRDefault="00376F21" w:rsidP="00376F21">
      <w:pPr>
        <w:jc w:val="center"/>
        <w:rPr>
          <w:sz w:val="28"/>
          <w:szCs w:val="28"/>
        </w:rPr>
      </w:pPr>
      <w:r>
        <w:rPr>
          <w:sz w:val="28"/>
          <w:szCs w:val="28"/>
        </w:rPr>
        <w:t>(KDPPLK)</w:t>
      </w:r>
    </w:p>
    <w:p w:rsidR="00376F21" w:rsidRDefault="00376F21" w:rsidP="00376F21">
      <w:pPr>
        <w:jc w:val="center"/>
        <w:rPr>
          <w:rStyle w:val="hgkelc"/>
          <w:sz w:val="28"/>
          <w:szCs w:val="28"/>
        </w:rPr>
      </w:pPr>
      <w:r w:rsidRPr="00376F21">
        <w:rPr>
          <w:rStyle w:val="hgkelc"/>
          <w:sz w:val="28"/>
          <w:szCs w:val="28"/>
        </w:rPr>
        <w:t>Kerangka dasar penyusunan dan penyajian laporan keuangan</w:t>
      </w:r>
    </w:p>
    <w:p w:rsidR="00376F21" w:rsidRDefault="00376F21" w:rsidP="00376F21">
      <w:pPr>
        <w:jc w:val="center"/>
        <w:rPr>
          <w:rStyle w:val="hgkelc"/>
          <w:sz w:val="28"/>
          <w:szCs w:val="28"/>
        </w:rPr>
      </w:pPr>
      <w:r w:rsidRPr="00376F21">
        <w:rPr>
          <w:rStyle w:val="hgkelc"/>
          <w:sz w:val="28"/>
          <w:szCs w:val="28"/>
        </w:rPr>
        <w:t xml:space="preserve"> adalah </w:t>
      </w:r>
      <w:r w:rsidRPr="00376F21">
        <w:rPr>
          <w:rStyle w:val="hgkelc"/>
          <w:b/>
          <w:bCs/>
          <w:sz w:val="28"/>
          <w:szCs w:val="28"/>
        </w:rPr>
        <w:t>sistem terpadu yang berisikan tujuan, dasar, sifat fungsi dan keterbatasan akuntansi keuangan dan laporan keuangan</w:t>
      </w:r>
      <w:r w:rsidRPr="00376F21">
        <w:rPr>
          <w:rStyle w:val="hgkelc"/>
          <w:sz w:val="28"/>
          <w:szCs w:val="28"/>
        </w:rPr>
        <w:t>. Kerangka dasar penyusunan dan penyajian laporan keuangan disebut juga Conceptual Framework.</w:t>
      </w:r>
    </w:p>
    <w:p w:rsidR="00376F21" w:rsidRDefault="00376F21" w:rsidP="00376F21">
      <w:pPr>
        <w:jc w:val="center"/>
        <w:rPr>
          <w:rStyle w:val="hgkelc"/>
          <w:sz w:val="28"/>
          <w:szCs w:val="28"/>
        </w:rPr>
      </w:pPr>
    </w:p>
    <w:p w:rsidR="00376F21" w:rsidRPr="00376F21" w:rsidRDefault="00376F21" w:rsidP="00376F21">
      <w:pPr>
        <w:jc w:val="center"/>
        <w:rPr>
          <w:sz w:val="28"/>
          <w:szCs w:val="28"/>
        </w:rPr>
      </w:pPr>
      <w:r w:rsidRPr="00376F21">
        <w:rPr>
          <w:sz w:val="28"/>
          <w:szCs w:val="28"/>
        </w:rPr>
        <w:t>KERANGKA DASAR PENYUSUNAN DAN PENYAJIAN LAPORAN KEUANGA SYARIAH</w:t>
      </w:r>
    </w:p>
    <w:p w:rsidR="00376F21" w:rsidRDefault="00376F21" w:rsidP="00376F21">
      <w:pPr>
        <w:jc w:val="center"/>
        <w:rPr>
          <w:sz w:val="24"/>
          <w:szCs w:val="24"/>
        </w:rPr>
      </w:pPr>
    </w:p>
    <w:p w:rsidR="00376F21" w:rsidRDefault="00376F21" w:rsidP="00376F21">
      <w:pPr>
        <w:jc w:val="center"/>
        <w:rPr>
          <w:rStyle w:val="hgkelc"/>
          <w:sz w:val="28"/>
          <w:szCs w:val="28"/>
        </w:rPr>
      </w:pPr>
      <w:r w:rsidRPr="00376F21">
        <w:rPr>
          <w:rStyle w:val="hgkelc"/>
          <w:sz w:val="28"/>
          <w:szCs w:val="28"/>
        </w:rPr>
        <w:t>Kerangka Dasar Penyusunan dan Penyajian Laporan Keuangan Syariah (KDPPLK</w:t>
      </w:r>
      <w:r>
        <w:rPr>
          <w:rStyle w:val="hgkelc"/>
          <w:sz w:val="28"/>
          <w:szCs w:val="28"/>
        </w:rPr>
        <w:t xml:space="preserve">S </w:t>
      </w:r>
      <w:r w:rsidRPr="00376F21">
        <w:rPr>
          <w:rStyle w:val="hgkelc"/>
          <w:sz w:val="28"/>
          <w:szCs w:val="28"/>
        </w:rPr>
        <w:t xml:space="preserve">) merupakan </w:t>
      </w:r>
      <w:r w:rsidRPr="00376F21">
        <w:rPr>
          <w:rStyle w:val="hgkelc"/>
          <w:b/>
          <w:bCs/>
          <w:sz w:val="28"/>
          <w:szCs w:val="28"/>
        </w:rPr>
        <w:t>pengaturan akuntansi yang memberikan konsep yang mendasari penyusunan dan penyajian laporan keuangan atas transaksi syariah</w:t>
      </w:r>
      <w:r w:rsidRPr="00376F21">
        <w:rPr>
          <w:rStyle w:val="hgkelc"/>
          <w:sz w:val="28"/>
          <w:szCs w:val="28"/>
        </w:rPr>
        <w:t>.</w:t>
      </w:r>
    </w:p>
    <w:p w:rsidR="005A1082" w:rsidRDefault="005A1082" w:rsidP="00376F21">
      <w:pPr>
        <w:jc w:val="center"/>
        <w:rPr>
          <w:rStyle w:val="hgkelc"/>
          <w:sz w:val="28"/>
          <w:szCs w:val="28"/>
        </w:rPr>
      </w:pPr>
    </w:p>
    <w:p w:rsidR="005A1082" w:rsidRPr="005A1082" w:rsidRDefault="005A1082" w:rsidP="005A1082">
      <w:pPr>
        <w:spacing w:before="100" w:beforeAutospacing="1" w:after="100" w:afterAutospacing="1" w:line="240" w:lineRule="auto"/>
        <w:jc w:val="center"/>
        <w:outlineLvl w:val="2"/>
        <w:rPr>
          <w:rFonts w:ascii="Times New Roman" w:eastAsia="Times New Roman" w:hAnsi="Times New Roman" w:cs="Times New Roman"/>
          <w:b/>
          <w:bCs/>
          <w:sz w:val="28"/>
          <w:szCs w:val="28"/>
          <w:lang w:eastAsia="id-ID"/>
        </w:rPr>
      </w:pPr>
      <w:r w:rsidRPr="005A1082">
        <w:rPr>
          <w:rFonts w:ascii="inherit" w:eastAsia="Times New Roman" w:hAnsi="inherit" w:cs="Times New Roman"/>
          <w:b/>
          <w:bCs/>
          <w:sz w:val="28"/>
          <w:szCs w:val="28"/>
          <w:lang w:eastAsia="id-ID"/>
        </w:rPr>
        <w:t>Tujuan dan Peranan</w:t>
      </w:r>
    </w:p>
    <w:p w:rsidR="005A1082" w:rsidRDefault="005A1082" w:rsidP="005A1082">
      <w:pPr>
        <w:spacing w:after="0" w:line="240" w:lineRule="auto"/>
        <w:ind w:left="426" w:hanging="426"/>
        <w:jc w:val="both"/>
        <w:rPr>
          <w:rFonts w:ascii="inherit" w:eastAsia="Times New Roman" w:hAnsi="inherit" w:cs="Times New Roman"/>
          <w:sz w:val="24"/>
          <w:szCs w:val="24"/>
          <w:lang w:eastAsia="id-ID"/>
        </w:rPr>
      </w:pPr>
      <w:r w:rsidRPr="005A1082">
        <w:rPr>
          <w:rFonts w:ascii="inherit" w:eastAsia="Times New Roman" w:hAnsi="inherit" w:cs="Times New Roman"/>
          <w:sz w:val="24"/>
          <w:szCs w:val="24"/>
          <w:lang w:eastAsia="id-ID"/>
        </w:rPr>
        <w:t>01. Kerangka dasar ini menyajikan konsep yang mendasari p</w:t>
      </w:r>
      <w:r>
        <w:rPr>
          <w:rFonts w:ascii="inherit" w:eastAsia="Times New Roman" w:hAnsi="inherit" w:cs="Times New Roman"/>
          <w:sz w:val="24"/>
          <w:szCs w:val="24"/>
          <w:lang w:eastAsia="id-ID"/>
        </w:rPr>
        <w:t>enyusunan dan penyajian laporan</w:t>
      </w:r>
      <w:r w:rsidRPr="005A1082">
        <w:rPr>
          <w:rFonts w:ascii="inherit" w:eastAsia="Times New Roman" w:hAnsi="inherit" w:cs="Times New Roman"/>
          <w:sz w:val="24"/>
          <w:szCs w:val="24"/>
          <w:lang w:eastAsia="id-ID"/>
        </w:rPr>
        <w:t>keuangan bagi para penggunanya. Tujuan kerangka dasar ini adalah untuk digunakan sebagai acuan bagi :</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5A1082">
      <w:pPr>
        <w:spacing w:after="0" w:line="240" w:lineRule="auto"/>
        <w:ind w:left="284"/>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(a)</w:t>
      </w:r>
      <w:r>
        <w:rPr>
          <w:rFonts w:ascii="inherit" w:eastAsia="Times New Roman" w:hAnsi="inherit" w:cs="Times New Roman"/>
          <w:sz w:val="24"/>
          <w:szCs w:val="24"/>
          <w:lang w:eastAsia="id-ID"/>
        </w:rPr>
        <w:t xml:space="preserve"> </w:t>
      </w:r>
      <w:r w:rsidRPr="005A1082">
        <w:rPr>
          <w:rFonts w:ascii="inherit" w:eastAsia="Times New Roman" w:hAnsi="inherit" w:cs="Times New Roman"/>
          <w:sz w:val="24"/>
          <w:szCs w:val="24"/>
          <w:lang w:eastAsia="id-ID"/>
        </w:rPr>
        <w:t xml:space="preserve"> Penyusun standar akuntansi keuangan syariah, dalam pelaksanaan tugasnya</w:t>
      </w:r>
    </w:p>
    <w:p w:rsidR="005A1082" w:rsidRPr="005A1082" w:rsidRDefault="005A1082" w:rsidP="005A1082">
      <w:pPr>
        <w:spacing w:after="0" w:line="240" w:lineRule="auto"/>
        <w:ind w:left="720" w:hanging="436"/>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(b) Penyusun laporan keuangan, Untuk menanggulangi</w:t>
      </w:r>
      <w:r>
        <w:rPr>
          <w:rFonts w:ascii="inherit" w:eastAsia="Times New Roman" w:hAnsi="inherit" w:cs="Times New Roman"/>
          <w:sz w:val="24"/>
          <w:szCs w:val="24"/>
          <w:lang w:eastAsia="id-ID"/>
        </w:rPr>
        <w:t xml:space="preserve"> masalah akuntansi syariah yang </w:t>
      </w:r>
      <w:r w:rsidRPr="005A1082">
        <w:rPr>
          <w:rFonts w:ascii="inherit" w:eastAsia="Times New Roman" w:hAnsi="inherit" w:cs="Times New Roman"/>
          <w:sz w:val="24"/>
          <w:szCs w:val="24"/>
          <w:lang w:eastAsia="id-ID"/>
        </w:rPr>
        <w:t>belum diatur dalam standar akuntansi keuangan syariah</w:t>
      </w:r>
    </w:p>
    <w:p w:rsidR="005A1082" w:rsidRPr="005A1082" w:rsidRDefault="005A1082" w:rsidP="005A1082">
      <w:pPr>
        <w:spacing w:after="0" w:line="240" w:lineRule="auto"/>
        <w:ind w:left="709" w:hanging="425"/>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 xml:space="preserve">(c) Auditor, dalam memberikan pendapat mengenai apakah  laporan keuangan disusun </w:t>
      </w:r>
      <w:r>
        <w:rPr>
          <w:rFonts w:ascii="inherit" w:eastAsia="Times New Roman" w:hAnsi="inherit" w:cs="Times New Roman"/>
          <w:sz w:val="24"/>
          <w:szCs w:val="24"/>
          <w:lang w:eastAsia="id-ID"/>
        </w:rPr>
        <w:t xml:space="preserve">   </w:t>
      </w:r>
      <w:r w:rsidRPr="005A1082">
        <w:rPr>
          <w:rFonts w:ascii="inherit" w:eastAsia="Times New Roman" w:hAnsi="inherit" w:cs="Times New Roman"/>
          <w:sz w:val="24"/>
          <w:szCs w:val="24"/>
          <w:lang w:eastAsia="id-ID"/>
        </w:rPr>
        <w:t>sesuai dengan prinsip akuntansi syariah yang berlaku umum</w:t>
      </w:r>
    </w:p>
    <w:p w:rsidR="005A1082" w:rsidRPr="005A1082" w:rsidRDefault="005A1082" w:rsidP="005A1082">
      <w:pPr>
        <w:spacing w:after="0" w:line="240" w:lineRule="auto"/>
        <w:ind w:left="426" w:hanging="426"/>
        <w:jc w:val="both"/>
        <w:rPr>
          <w:rFonts w:ascii="Times New Roman" w:eastAsia="Times New Roman" w:hAnsi="Times New Roman" w:cs="Times New Roman"/>
          <w:sz w:val="24"/>
          <w:szCs w:val="24"/>
          <w:lang w:eastAsia="id-ID"/>
        </w:rPr>
      </w:pPr>
      <w:r>
        <w:rPr>
          <w:rFonts w:ascii="inherit" w:eastAsia="Times New Roman" w:hAnsi="inherit" w:cs="Times New Roman"/>
          <w:sz w:val="24"/>
          <w:szCs w:val="24"/>
          <w:lang w:eastAsia="id-ID"/>
        </w:rPr>
        <w:lastRenderedPageBreak/>
        <w:t xml:space="preserve">  </w:t>
      </w:r>
      <w:r w:rsidRPr="005A1082">
        <w:rPr>
          <w:rFonts w:ascii="inherit" w:eastAsia="Times New Roman" w:hAnsi="inherit" w:cs="Times New Roman"/>
          <w:sz w:val="24"/>
          <w:szCs w:val="24"/>
          <w:lang w:eastAsia="id-ID"/>
        </w:rPr>
        <w:t>(d) Para pengguna laporan keuangan, dalam menafsirkan informasi yang disajikan dalam laporan keuangan yang disusun sesuai dengan standar akuntansi keuangan syariah</w:t>
      </w:r>
    </w:p>
    <w:p w:rsidR="005A1082" w:rsidRDefault="005A1082" w:rsidP="005A1082">
      <w:pPr>
        <w:spacing w:after="240" w:line="240" w:lineRule="auto"/>
        <w:rPr>
          <w:rFonts w:ascii="inherit" w:eastAsia="Times New Roman" w:hAnsi="inherit" w:cs="Times New Roman"/>
          <w:sz w:val="24"/>
          <w:szCs w:val="24"/>
          <w:lang w:eastAsia="id-ID"/>
        </w:rPr>
      </w:pPr>
    </w:p>
    <w:p w:rsidR="005A1082" w:rsidRPr="005A1082" w:rsidRDefault="005A1082" w:rsidP="005A1082">
      <w:pPr>
        <w:spacing w:after="240" w:line="240" w:lineRule="auto"/>
        <w:ind w:left="426" w:hanging="426"/>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 xml:space="preserve">02. Pengertian transaksi syariah yang dimaksud dalam kerangka dasar ini adalah  transaksi </w:t>
      </w:r>
      <w:r>
        <w:rPr>
          <w:rFonts w:ascii="inherit" w:eastAsia="Times New Roman" w:hAnsi="inherit" w:cs="Times New Roman"/>
          <w:sz w:val="24"/>
          <w:szCs w:val="24"/>
          <w:lang w:eastAsia="id-ID"/>
        </w:rPr>
        <w:t xml:space="preserve"> </w:t>
      </w:r>
      <w:r w:rsidRPr="005A1082">
        <w:rPr>
          <w:rFonts w:ascii="inherit" w:eastAsia="Times New Roman" w:hAnsi="inherit" w:cs="Times New Roman"/>
          <w:sz w:val="24"/>
          <w:szCs w:val="24"/>
          <w:lang w:eastAsia="id-ID"/>
        </w:rPr>
        <w:t xml:space="preserve">yang </w:t>
      </w:r>
      <w:r>
        <w:rPr>
          <w:rFonts w:ascii="inherit" w:eastAsia="Times New Roman" w:hAnsi="inherit" w:cs="Times New Roman"/>
          <w:sz w:val="24"/>
          <w:szCs w:val="24"/>
          <w:lang w:eastAsia="id-ID"/>
        </w:rPr>
        <w:t xml:space="preserve">dilakukan berdasarkan prinsip </w:t>
      </w:r>
      <w:r w:rsidRPr="005A1082">
        <w:rPr>
          <w:rFonts w:ascii="inherit" w:eastAsia="Times New Roman" w:hAnsi="inherit" w:cs="Times New Roman"/>
          <w:sz w:val="24"/>
          <w:szCs w:val="24"/>
          <w:lang w:eastAsia="id-ID"/>
        </w:rPr>
        <w:t>syariah.</w:t>
      </w:r>
      <w:r w:rsidRPr="005A1082">
        <w:rPr>
          <w:rFonts w:ascii="Times New Roman" w:eastAsia="Times New Roman" w:hAnsi="Times New Roman" w:cs="Times New Roman"/>
          <w:sz w:val="24"/>
          <w:szCs w:val="24"/>
          <w:lang w:eastAsia="id-ID"/>
        </w:rPr>
        <w:br/>
      </w:r>
    </w:p>
    <w:p w:rsidR="005A1082" w:rsidRPr="005A1082" w:rsidRDefault="005A1082" w:rsidP="005A1082">
      <w:pPr>
        <w:spacing w:after="0" w:line="240" w:lineRule="auto"/>
        <w:ind w:left="284" w:hanging="284"/>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 xml:space="preserve">03. Kerangka dasar ini bukan standar akuntansi keuangan dan karenanya tidak mendefinisikan </w:t>
      </w:r>
      <w:r>
        <w:rPr>
          <w:rFonts w:ascii="inherit" w:eastAsia="Times New Roman" w:hAnsi="inherit" w:cs="Times New Roman"/>
          <w:sz w:val="24"/>
          <w:szCs w:val="24"/>
          <w:lang w:eastAsia="id-ID"/>
        </w:rPr>
        <w:t xml:space="preserve">  </w:t>
      </w:r>
      <w:r w:rsidRPr="005A1082">
        <w:rPr>
          <w:rFonts w:ascii="inherit" w:eastAsia="Times New Roman" w:hAnsi="inherit" w:cs="Times New Roman"/>
          <w:sz w:val="24"/>
          <w:szCs w:val="24"/>
          <w:lang w:eastAsia="id-ID"/>
        </w:rPr>
        <w:t>standar untuk permasalahan pengukuran atau pengungkapan tertentu. </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832B18" w:rsidP="00832B18">
      <w:pPr>
        <w:spacing w:after="240" w:line="240" w:lineRule="auto"/>
        <w:ind w:left="284"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04.</w:t>
      </w:r>
      <w:r w:rsidR="005A1082" w:rsidRPr="005A1082">
        <w:rPr>
          <w:rFonts w:ascii="inherit" w:eastAsia="Times New Roman" w:hAnsi="inherit" w:cs="Times New Roman"/>
          <w:sz w:val="24"/>
          <w:szCs w:val="24"/>
          <w:lang w:eastAsia="id-ID"/>
        </w:rPr>
        <w:t>Revisi kerangka dasar ini akan dilakukan dari waktu ke waktu sesuai dengan pengalaman  badan penyusun standar akuntansi keuangan syariah dalam penggunaan dasar kerangka tersebut. </w:t>
      </w:r>
    </w:p>
    <w:p w:rsidR="005A1082" w:rsidRPr="005A1082" w:rsidRDefault="005A1082" w:rsidP="00832B18">
      <w:pPr>
        <w:spacing w:before="100" w:beforeAutospacing="1" w:after="100" w:afterAutospacing="1" w:line="240" w:lineRule="auto"/>
        <w:jc w:val="center"/>
        <w:outlineLvl w:val="2"/>
        <w:rPr>
          <w:rFonts w:ascii="Times New Roman" w:eastAsia="Times New Roman" w:hAnsi="Times New Roman" w:cs="Times New Roman"/>
          <w:b/>
          <w:bCs/>
          <w:sz w:val="28"/>
          <w:szCs w:val="28"/>
          <w:lang w:eastAsia="id-ID"/>
        </w:rPr>
      </w:pPr>
      <w:r w:rsidRPr="005A1082">
        <w:rPr>
          <w:rFonts w:ascii="inherit" w:eastAsia="Times New Roman" w:hAnsi="inherit" w:cs="Times New Roman"/>
          <w:b/>
          <w:bCs/>
          <w:sz w:val="28"/>
          <w:szCs w:val="28"/>
          <w:lang w:eastAsia="id-ID"/>
        </w:rPr>
        <w:t>Ruang Lingkup</w:t>
      </w:r>
    </w:p>
    <w:p w:rsidR="005A1082" w:rsidRDefault="005A1082" w:rsidP="005A1082">
      <w:pPr>
        <w:spacing w:after="0" w:line="240" w:lineRule="auto"/>
        <w:jc w:val="both"/>
        <w:rPr>
          <w:rFonts w:ascii="inherit" w:eastAsia="Times New Roman" w:hAnsi="inherit" w:cs="Times New Roman"/>
          <w:sz w:val="24"/>
          <w:szCs w:val="24"/>
          <w:lang w:eastAsia="id-ID"/>
        </w:rPr>
      </w:pPr>
      <w:r w:rsidRPr="005A1082">
        <w:rPr>
          <w:rFonts w:ascii="inherit" w:eastAsia="Times New Roman" w:hAnsi="inherit" w:cs="Times New Roman"/>
          <w:sz w:val="24"/>
          <w:szCs w:val="24"/>
          <w:lang w:eastAsia="id-ID"/>
        </w:rPr>
        <w:t>05. Kerangka dasar ini membahas :</w:t>
      </w:r>
    </w:p>
    <w:p w:rsidR="00832B18" w:rsidRPr="005A1082" w:rsidRDefault="00832B18"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(a) tujuan laporan keuangan;</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(b) karakteristik kualitatif yang menentukan manfaat informasi dalam laporan keuangan; dan</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(c) definisi, pengakuan, dan pengukuran unsur-unsur yang membentuk laporan keuangan</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832B18">
      <w:pPr>
        <w:spacing w:after="0" w:line="240" w:lineRule="auto"/>
        <w:ind w:left="426" w:hanging="426"/>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06. Kerangka dasar ini membahas laporan keuangan untuk tujuan umum (general purpose financial statemens, yang selanjutnya hanya disebut "laporan keuangan"), termasuk laporan keuangan konsolidasi. Laporan keuangan disusun dan disajikan sekurang-kurangnya setahun sekali untuk memenuhi kebutuhan sejumlah besar pengguna. Beberapa diantara pengguna ini memerlukan dan berhak untuk memperoleh informasi tambahan disamping yang tercakup dalam laporan keuangan. Namun demikian, banyak pengguna sangat bergantung pada laporan keuangan sebagai sumber utama informasi keuangan dan karena itu laporan keuangan tersebut seharusnya disusun dan disajikan dengan mempertimbangkan kebutuhan mereka. Laporan keuangan dengan tujuan khusus seperti prospektus, dan perhitungan yang dilakukan untuk tujuan perpajakan tidak termasuk dalam kerangka dasar ini.</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832B18">
      <w:pPr>
        <w:spacing w:after="0" w:line="240" w:lineRule="auto"/>
        <w:ind w:left="426" w:hanging="426"/>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07. Laporan keuangan merupakan bagian dari proses pelaporan keuangan. Laporan keuangan yang lengkap meliputi laporan keuangan atas kegiatan komersial dan atau sosial. Laporan keuangan kegiatan komersial meliputi laporan posisi keuangan, laporan laba rugi komprehensif, laporan perubahan posisi keuangan (yang dapat disajikan dalam berbagai cara seperti, misalnya, sebagai laporan arus kas, atau laporan perubahan ekuitas), catatan dan laporan lain serta materi penjelasan yang merupakan bagian integral dari laporan keuangan. Laporan atas kegiatan sosial meliputi laporan sumber dan penggunaan dana zakat, dan laporan sumber dan penggunaan dana kebajikan. Disamping itu juga termasuk, skedul dan informasi tambahan yang berkaitan dengan laporan tersebut, misalnya, informasi keuangan segmen industri dan geografis.</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832B18">
      <w:pPr>
        <w:spacing w:after="0" w:line="240" w:lineRule="auto"/>
        <w:ind w:left="426" w:hanging="426"/>
        <w:jc w:val="both"/>
        <w:rPr>
          <w:rFonts w:ascii="Times New Roman" w:eastAsia="Times New Roman" w:hAnsi="Times New Roman" w:cs="Times New Roman"/>
          <w:sz w:val="24"/>
          <w:szCs w:val="24"/>
          <w:lang w:eastAsia="id-ID"/>
        </w:rPr>
      </w:pPr>
      <w:r w:rsidRPr="005A1082">
        <w:rPr>
          <w:rFonts w:ascii="inherit" w:eastAsia="Times New Roman" w:hAnsi="inherit" w:cs="Times New Roman"/>
          <w:sz w:val="24"/>
          <w:szCs w:val="24"/>
          <w:lang w:eastAsia="id-ID"/>
        </w:rPr>
        <w:t xml:space="preserve">08. Kerangka dasar ini berlaku untuk semua jenis transaksi syariah yang dilaporkan dalam laporan keuangan entitas syariah maupun entitas konvensional, baik sektor publik maupun sektor swasta. Entitas syariah pelapor adalah entitas syariah yang laporan keuangannya digunakan oleh pengguna yang mengandalkan laporan keuangan tersebut sebagai sumber </w:t>
      </w:r>
      <w:r w:rsidRPr="005A1082">
        <w:rPr>
          <w:rFonts w:ascii="inherit" w:eastAsia="Times New Roman" w:hAnsi="inherit" w:cs="Times New Roman"/>
          <w:sz w:val="24"/>
          <w:szCs w:val="24"/>
          <w:lang w:eastAsia="id-ID"/>
        </w:rPr>
        <w:lastRenderedPageBreak/>
        <w:t>utama informasi keuangan entitas syariah. Entitas konvensional yang melakukan transaksi syariah tidak perlu mentiapkan laporan laporan keuangan syariah secara lengkap melainkan hanya melaporkan transaksi syariah sesuai dengan ketentuan standar akuntansi syariah dalam laporan keuangan konvensional.</w:t>
      </w: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p>
    <w:p w:rsidR="005A1082" w:rsidRPr="005A1082" w:rsidRDefault="005A1082" w:rsidP="005A1082">
      <w:pPr>
        <w:spacing w:after="0" w:line="240" w:lineRule="auto"/>
        <w:jc w:val="both"/>
        <w:rPr>
          <w:rFonts w:ascii="Times New Roman" w:eastAsia="Times New Roman" w:hAnsi="Times New Roman" w:cs="Times New Roman"/>
          <w:sz w:val="24"/>
          <w:szCs w:val="24"/>
          <w:lang w:eastAsia="id-ID"/>
        </w:rPr>
      </w:pPr>
      <w:bookmarkStart w:id="0" w:name="_GoBack"/>
      <w:bookmarkEnd w:id="0"/>
      <w:r w:rsidRPr="005A1082">
        <w:rPr>
          <w:rFonts w:ascii="Times New Roman" w:eastAsia="Times New Roman" w:hAnsi="Times New Roman" w:cs="Times New Roman"/>
          <w:b/>
          <w:bCs/>
          <w:sz w:val="24"/>
          <w:szCs w:val="24"/>
          <w:lang w:eastAsia="id-ID"/>
        </w:rPr>
        <w:t>Sumber : Kerangka Dasar Penyusunan dan Penyajian Laporan Keuangan Syariah - DSAS IAI (2007)</w:t>
      </w:r>
    </w:p>
    <w:p w:rsidR="005A1082" w:rsidRPr="00376F21" w:rsidRDefault="005A1082" w:rsidP="00376F21">
      <w:pPr>
        <w:jc w:val="center"/>
        <w:rPr>
          <w:sz w:val="28"/>
          <w:szCs w:val="28"/>
        </w:rPr>
      </w:pPr>
    </w:p>
    <w:sectPr w:rsidR="005A1082" w:rsidRPr="00376F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F21"/>
    <w:rsid w:val="00302BA2"/>
    <w:rsid w:val="00376F21"/>
    <w:rsid w:val="005A1082"/>
    <w:rsid w:val="007B5D6B"/>
    <w:rsid w:val="00832B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E26B0-0C11-4443-BD82-8F05113C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A1082"/>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5A1082"/>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376F21"/>
  </w:style>
  <w:style w:type="character" w:customStyle="1" w:styleId="Heading2Char">
    <w:name w:val="Heading 2 Char"/>
    <w:basedOn w:val="DefaultParagraphFont"/>
    <w:link w:val="Heading2"/>
    <w:uiPriority w:val="9"/>
    <w:rsid w:val="005A1082"/>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5A1082"/>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semiHidden/>
    <w:unhideWhenUsed/>
    <w:rsid w:val="005A1082"/>
    <w:rPr>
      <w:color w:val="0000FF"/>
      <w:u w:val="single"/>
    </w:rPr>
  </w:style>
  <w:style w:type="paragraph" w:styleId="ListParagraph">
    <w:name w:val="List Paragraph"/>
    <w:basedOn w:val="Normal"/>
    <w:uiPriority w:val="34"/>
    <w:qFormat/>
    <w:rsid w:val="005A10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996553">
      <w:bodyDiv w:val="1"/>
      <w:marLeft w:val="0"/>
      <w:marRight w:val="0"/>
      <w:marTop w:val="0"/>
      <w:marBottom w:val="0"/>
      <w:divBdr>
        <w:top w:val="none" w:sz="0" w:space="0" w:color="auto"/>
        <w:left w:val="none" w:sz="0" w:space="0" w:color="auto"/>
        <w:bottom w:val="none" w:sz="0" w:space="0" w:color="auto"/>
        <w:right w:val="none" w:sz="0" w:space="0" w:color="auto"/>
      </w:divBdr>
      <w:divsChild>
        <w:div w:id="497504977">
          <w:marLeft w:val="0"/>
          <w:marRight w:val="0"/>
          <w:marTop w:val="0"/>
          <w:marBottom w:val="0"/>
          <w:divBdr>
            <w:top w:val="none" w:sz="0" w:space="0" w:color="auto"/>
            <w:left w:val="none" w:sz="0" w:space="0" w:color="auto"/>
            <w:bottom w:val="none" w:sz="0" w:space="0" w:color="auto"/>
            <w:right w:val="none" w:sz="0" w:space="0" w:color="auto"/>
          </w:divBdr>
        </w:div>
        <w:div w:id="1039861222">
          <w:marLeft w:val="0"/>
          <w:marRight w:val="0"/>
          <w:marTop w:val="0"/>
          <w:marBottom w:val="0"/>
          <w:divBdr>
            <w:top w:val="none" w:sz="0" w:space="0" w:color="auto"/>
            <w:left w:val="none" w:sz="0" w:space="0" w:color="auto"/>
            <w:bottom w:val="none" w:sz="0" w:space="0" w:color="auto"/>
            <w:right w:val="none" w:sz="0" w:space="0" w:color="auto"/>
          </w:divBdr>
        </w:div>
        <w:div w:id="1593008198">
          <w:marLeft w:val="0"/>
          <w:marRight w:val="0"/>
          <w:marTop w:val="0"/>
          <w:marBottom w:val="0"/>
          <w:divBdr>
            <w:top w:val="none" w:sz="0" w:space="0" w:color="auto"/>
            <w:left w:val="none" w:sz="0" w:space="0" w:color="auto"/>
            <w:bottom w:val="none" w:sz="0" w:space="0" w:color="auto"/>
            <w:right w:val="none" w:sz="0" w:space="0" w:color="auto"/>
          </w:divBdr>
        </w:div>
        <w:div w:id="2016296340">
          <w:marLeft w:val="0"/>
          <w:marRight w:val="0"/>
          <w:marTop w:val="0"/>
          <w:marBottom w:val="0"/>
          <w:divBdr>
            <w:top w:val="none" w:sz="0" w:space="0" w:color="auto"/>
            <w:left w:val="none" w:sz="0" w:space="0" w:color="auto"/>
            <w:bottom w:val="none" w:sz="0" w:space="0" w:color="auto"/>
            <w:right w:val="none" w:sz="0" w:space="0" w:color="auto"/>
          </w:divBdr>
        </w:div>
        <w:div w:id="1869640825">
          <w:marLeft w:val="0"/>
          <w:marRight w:val="0"/>
          <w:marTop w:val="0"/>
          <w:marBottom w:val="0"/>
          <w:divBdr>
            <w:top w:val="none" w:sz="0" w:space="0" w:color="auto"/>
            <w:left w:val="none" w:sz="0" w:space="0" w:color="auto"/>
            <w:bottom w:val="none" w:sz="0" w:space="0" w:color="auto"/>
            <w:right w:val="none" w:sz="0" w:space="0" w:color="auto"/>
          </w:divBdr>
        </w:div>
        <w:div w:id="2088570235">
          <w:marLeft w:val="0"/>
          <w:marRight w:val="0"/>
          <w:marTop w:val="0"/>
          <w:marBottom w:val="0"/>
          <w:divBdr>
            <w:top w:val="none" w:sz="0" w:space="0" w:color="auto"/>
            <w:left w:val="none" w:sz="0" w:space="0" w:color="auto"/>
            <w:bottom w:val="none" w:sz="0" w:space="0" w:color="auto"/>
            <w:right w:val="none" w:sz="0" w:space="0" w:color="auto"/>
          </w:divBdr>
        </w:div>
        <w:div w:id="991325168">
          <w:marLeft w:val="0"/>
          <w:marRight w:val="0"/>
          <w:marTop w:val="0"/>
          <w:marBottom w:val="0"/>
          <w:divBdr>
            <w:top w:val="none" w:sz="0" w:space="0" w:color="auto"/>
            <w:left w:val="none" w:sz="0" w:space="0" w:color="auto"/>
            <w:bottom w:val="none" w:sz="0" w:space="0" w:color="auto"/>
            <w:right w:val="none" w:sz="0" w:space="0" w:color="auto"/>
          </w:divBdr>
        </w:div>
        <w:div w:id="155610841">
          <w:marLeft w:val="0"/>
          <w:marRight w:val="0"/>
          <w:marTop w:val="0"/>
          <w:marBottom w:val="0"/>
          <w:divBdr>
            <w:top w:val="none" w:sz="0" w:space="0" w:color="auto"/>
            <w:left w:val="none" w:sz="0" w:space="0" w:color="auto"/>
            <w:bottom w:val="none" w:sz="0" w:space="0" w:color="auto"/>
            <w:right w:val="none" w:sz="0" w:space="0" w:color="auto"/>
          </w:divBdr>
        </w:div>
        <w:div w:id="388113098">
          <w:marLeft w:val="0"/>
          <w:marRight w:val="0"/>
          <w:marTop w:val="0"/>
          <w:marBottom w:val="0"/>
          <w:divBdr>
            <w:top w:val="none" w:sz="0" w:space="0" w:color="auto"/>
            <w:left w:val="none" w:sz="0" w:space="0" w:color="auto"/>
            <w:bottom w:val="none" w:sz="0" w:space="0" w:color="auto"/>
            <w:right w:val="none" w:sz="0" w:space="0" w:color="auto"/>
          </w:divBdr>
        </w:div>
        <w:div w:id="820847886">
          <w:marLeft w:val="0"/>
          <w:marRight w:val="0"/>
          <w:marTop w:val="0"/>
          <w:marBottom w:val="0"/>
          <w:divBdr>
            <w:top w:val="none" w:sz="0" w:space="0" w:color="auto"/>
            <w:left w:val="none" w:sz="0" w:space="0" w:color="auto"/>
            <w:bottom w:val="none" w:sz="0" w:space="0" w:color="auto"/>
            <w:right w:val="none" w:sz="0" w:space="0" w:color="auto"/>
          </w:divBdr>
        </w:div>
        <w:div w:id="510339065">
          <w:marLeft w:val="0"/>
          <w:marRight w:val="0"/>
          <w:marTop w:val="0"/>
          <w:marBottom w:val="0"/>
          <w:divBdr>
            <w:top w:val="none" w:sz="0" w:space="0" w:color="auto"/>
            <w:left w:val="none" w:sz="0" w:space="0" w:color="auto"/>
            <w:bottom w:val="none" w:sz="0" w:space="0" w:color="auto"/>
            <w:right w:val="none" w:sz="0" w:space="0" w:color="auto"/>
          </w:divBdr>
        </w:div>
        <w:div w:id="279652765">
          <w:marLeft w:val="0"/>
          <w:marRight w:val="0"/>
          <w:marTop w:val="0"/>
          <w:marBottom w:val="0"/>
          <w:divBdr>
            <w:top w:val="none" w:sz="0" w:space="0" w:color="auto"/>
            <w:left w:val="none" w:sz="0" w:space="0" w:color="auto"/>
            <w:bottom w:val="none" w:sz="0" w:space="0" w:color="auto"/>
            <w:right w:val="none" w:sz="0" w:space="0" w:color="auto"/>
          </w:divBdr>
        </w:div>
        <w:div w:id="267735010">
          <w:marLeft w:val="0"/>
          <w:marRight w:val="0"/>
          <w:marTop w:val="0"/>
          <w:marBottom w:val="0"/>
          <w:divBdr>
            <w:top w:val="none" w:sz="0" w:space="0" w:color="auto"/>
            <w:left w:val="none" w:sz="0" w:space="0" w:color="auto"/>
            <w:bottom w:val="none" w:sz="0" w:space="0" w:color="auto"/>
            <w:right w:val="none" w:sz="0" w:space="0" w:color="auto"/>
          </w:divBdr>
        </w:div>
        <w:div w:id="589704313">
          <w:marLeft w:val="0"/>
          <w:marRight w:val="0"/>
          <w:marTop w:val="0"/>
          <w:marBottom w:val="0"/>
          <w:divBdr>
            <w:top w:val="none" w:sz="0" w:space="0" w:color="auto"/>
            <w:left w:val="none" w:sz="0" w:space="0" w:color="auto"/>
            <w:bottom w:val="none" w:sz="0" w:space="0" w:color="auto"/>
            <w:right w:val="none" w:sz="0" w:space="0" w:color="auto"/>
          </w:divBdr>
        </w:div>
        <w:div w:id="1168523740">
          <w:marLeft w:val="0"/>
          <w:marRight w:val="0"/>
          <w:marTop w:val="0"/>
          <w:marBottom w:val="0"/>
          <w:divBdr>
            <w:top w:val="none" w:sz="0" w:space="0" w:color="auto"/>
            <w:left w:val="none" w:sz="0" w:space="0" w:color="auto"/>
            <w:bottom w:val="none" w:sz="0" w:space="0" w:color="auto"/>
            <w:right w:val="none" w:sz="0" w:space="0" w:color="auto"/>
          </w:divBdr>
        </w:div>
        <w:div w:id="650257550">
          <w:marLeft w:val="0"/>
          <w:marRight w:val="0"/>
          <w:marTop w:val="0"/>
          <w:marBottom w:val="0"/>
          <w:divBdr>
            <w:top w:val="none" w:sz="0" w:space="0" w:color="auto"/>
            <w:left w:val="none" w:sz="0" w:space="0" w:color="auto"/>
            <w:bottom w:val="none" w:sz="0" w:space="0" w:color="auto"/>
            <w:right w:val="none" w:sz="0" w:space="0" w:color="auto"/>
          </w:divBdr>
        </w:div>
        <w:div w:id="1999992231">
          <w:marLeft w:val="0"/>
          <w:marRight w:val="0"/>
          <w:marTop w:val="0"/>
          <w:marBottom w:val="0"/>
          <w:divBdr>
            <w:top w:val="none" w:sz="0" w:space="0" w:color="auto"/>
            <w:left w:val="none" w:sz="0" w:space="0" w:color="auto"/>
            <w:bottom w:val="none" w:sz="0" w:space="0" w:color="auto"/>
            <w:right w:val="none" w:sz="0" w:space="0" w:color="auto"/>
          </w:divBdr>
        </w:div>
        <w:div w:id="1166356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2023-03-14T23:13:00Z</dcterms:created>
  <dcterms:modified xsi:type="dcterms:W3CDTF">2023-03-14T23:13:00Z</dcterms:modified>
</cp:coreProperties>
</file>